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right="708"/>
        <w:contextualSpacing w:val="0"/>
        <w:jc w:val="right"/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>
      <w:pPr>
        <w:ind w:right="708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Big Ideas in Mastery: Mathematical Thinking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  <w:jc w:val="both"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Messages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jc w:val="both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Mathematical thinking is central to deep and sustainable learning of mathematics.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jc w:val="both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Taught ideas that are understood deeply are not just ‘received’ passively but worked on by the learner. They need to be thought about, reasoned with and discussed.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jc w:val="both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Mathematical thinking involves:</w:t>
            </w:r>
          </w:p>
          <w:p w:rsidR="00000000" w:rsidDel="00000000" w:rsidP="00000000" w:rsidRDefault="00000000" w:rsidRPr="00000000">
            <w:pPr>
              <w:numPr>
                <w:ilvl w:val="1"/>
                <w:numId w:val="1"/>
              </w:numPr>
              <w:spacing w:after="0" w:before="0" w:line="240" w:lineRule="auto"/>
              <w:ind w:left="1440" w:hanging="360"/>
              <w:contextualSpacing w:val="1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looking for pattern in order to discern structure;</w:t>
            </w:r>
          </w:p>
          <w:p w:rsidR="00000000" w:rsidDel="00000000" w:rsidP="00000000" w:rsidRDefault="00000000" w:rsidRPr="00000000">
            <w:pPr>
              <w:numPr>
                <w:ilvl w:val="1"/>
                <w:numId w:val="1"/>
              </w:numPr>
              <w:spacing w:after="0" w:before="0" w:line="240" w:lineRule="auto"/>
              <w:ind w:left="1440" w:hanging="360"/>
              <w:contextualSpacing w:val="1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looking for relationships and connecting ideas;</w:t>
            </w:r>
          </w:p>
          <w:p w:rsidR="00000000" w:rsidDel="00000000" w:rsidP="00000000" w:rsidRDefault="00000000" w:rsidRPr="00000000">
            <w:pPr>
              <w:numPr>
                <w:ilvl w:val="1"/>
                <w:numId w:val="1"/>
              </w:numPr>
              <w:spacing w:after="0" w:before="0" w:line="240" w:lineRule="auto"/>
              <w:ind w:left="1440" w:hanging="360"/>
              <w:contextualSpacing w:val="1"/>
              <w:jc w:val="both"/>
              <w:rPr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reasoning logically, explaining, conjecturing and proving.</w:t>
            </w:r>
          </w:p>
        </w:tc>
      </w:tr>
    </w:tbl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708"/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 example:</w:t>
      </w:r>
    </w:p>
    <w:p w:rsidR="00000000" w:rsidDel="00000000" w:rsidP="00000000" w:rsidRDefault="00000000" w:rsidRPr="00000000">
      <w:pPr>
        <w:ind w:right="708"/>
        <w:contextualSpacing w:val="0"/>
      </w:pPr>
      <w:r w:rsidDel="00000000" w:rsidR="00000000" w:rsidRPr="00000000">
        <w:rPr>
          <w:rFonts w:ascii="Arial" w:cs="Arial" w:eastAsia="Arial" w:hAnsi="Arial"/>
          <w:rtl w:val="0"/>
        </w:rPr>
        <w:t xml:space="preserve">Asking “what’s the same and what’s different?” in a range of situations prompts and promotes mathematical thinking</w:t>
      </w:r>
    </w:p>
    <w:p w:rsidR="00000000" w:rsidDel="00000000" w:rsidP="00000000" w:rsidRDefault="00000000" w:rsidRPr="00000000">
      <w:pPr>
        <w:ind w:right="708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708"/>
        <w:contextualSpacing w:val="0"/>
        <w:jc w:val="center"/>
      </w:pPr>
      <w:r w:rsidDel="00000000" w:rsidR="00000000" w:rsidRPr="00000000">
        <w:drawing>
          <wp:inline distB="0" distT="0" distL="0" distR="0">
            <wp:extent cx="1892300" cy="130810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5"/>
                    <a:srcRect b="47841" l="51283" r="23392" t="30066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0" distT="0" distL="0" distR="0">
            <wp:extent cx="1460500" cy="1346200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6"/>
                    <a:srcRect b="45515" l="41016" r="39899" t="32557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right="708"/>
        <w:contextualSpacing w:val="0"/>
      </w:pPr>
      <w:r w:rsidDel="00000000" w:rsidR="00000000" w:rsidRPr="00000000">
        <w:rPr>
          <w:rFonts w:ascii="Arial" w:cs="Arial" w:eastAsia="Arial" w:hAnsi="Arial"/>
          <w:rtl w:val="0"/>
        </w:rPr>
        <w:t xml:space="preserve">Asking pupils to explain, convince, draw diagrams to illustrate an idea or strategy, reason and conjecture as a natural part of all activity in the mathematics classroom supports deep and sustainable learning.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I have tried </w:t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3"/>
        <w:bidi w:val="0"/>
        <w:tblW w:w="9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I found:</w:t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center" w:pos="4153"/>
                <w:tab w:val="right" w:pos="8306"/>
              </w:tabs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276" w:top="669" w:left="1418" w:right="8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153"/>
        <w:tab w:val="right" w:pos="8306"/>
      </w:tabs>
      <w:spacing w:after="709" w:before="0" w:line="240" w:lineRule="auto"/>
      <w:contextualSpacing w:val="0"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0" locked="0" relativeHeight="0" simplePos="0">
          <wp:simplePos x="0" y="0"/>
          <wp:positionH relativeFrom="margin">
            <wp:posOffset>-3174</wp:posOffset>
          </wp:positionH>
          <wp:positionV relativeFrom="paragraph">
            <wp:posOffset>-328929</wp:posOffset>
          </wp:positionV>
          <wp:extent cx="3019425" cy="323850"/>
          <wp:effectExtent b="0" l="0" r="0" t="0"/>
          <wp:wrapSquare wrapText="bothSides" distB="0" distT="0" distL="114300" distR="114300"/>
          <wp:docPr descr="DfE" id="1" name="image02.jpg"/>
          <a:graphic>
            <a:graphicData uri="http://schemas.openxmlformats.org/drawingml/2006/picture">
              <pic:pic>
                <pic:nvPicPr>
                  <pic:cNvPr descr="DfE" id="0" name="image0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19425" cy="323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153"/>
        <w:tab w:val="right" w:pos="8306"/>
      </w:tabs>
      <w:spacing w:after="0" w:before="709" w:line="240" w:lineRule="auto"/>
      <w:contextualSpacing w:val="0"/>
    </w:pPr>
    <w:r w:rsidDel="00000000" w:rsidR="00000000" w:rsidRPr="00000000">
      <w:drawing>
        <wp:inline distB="0" distT="0" distL="114300" distR="114300">
          <wp:extent cx="1784350" cy="1196340"/>
          <wp:effectExtent b="0" l="0" r="0" t="0"/>
          <wp:docPr descr="NCETM-logo-letterhead" id="2" name="image03.png"/>
          <a:graphic>
            <a:graphicData uri="http://schemas.openxmlformats.org/drawingml/2006/picture">
              <pic:pic>
                <pic:nvPicPr>
                  <pic:cNvPr descr="NCETM-logo-letterhead" id="0" name="image03.png"/>
                  <pic:cNvPicPr preferRelativeResize="0"/>
                </pic:nvPicPr>
                <pic:blipFill>
                  <a:blip r:embed="rId1"/>
                  <a:srcRect b="46575" l="0" r="0" t="0"/>
                  <a:stretch>
                    <a:fillRect/>
                  </a:stretch>
                </pic:blipFill>
                <pic:spPr>
                  <a:xfrm>
                    <a:off x="0" y="0"/>
                    <a:ext cx="1784350" cy="11963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sz w:val="24"/>
        <w:szCs w:val="24"/>
        <w:rtl w:val="0"/>
      </w:rPr>
      <w:t xml:space="preserve">                                              </w:t>
    </w:r>
    <w:r w:rsidDel="00000000" w:rsidR="00000000" w:rsidRPr="00000000">
      <w:drawing>
        <wp:inline distB="0" distT="0" distL="0" distR="0">
          <wp:extent cx="2209800" cy="819150"/>
          <wp:effectExtent b="0" l="0" r="0" t="0"/>
          <wp:docPr descr="Presentation1" id="6" name="image11.jpg"/>
          <a:graphic>
            <a:graphicData uri="http://schemas.openxmlformats.org/drawingml/2006/picture">
              <pic:pic>
                <pic:nvPicPr>
                  <pic:cNvPr descr="Presentation1" id="0" name="image1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9800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sz w:val="24"/>
        <w:szCs w:val="24"/>
        <w:rtl w:val="0"/>
      </w:rPr>
      <w:t xml:space="preserve">               </w:t>
    </w:r>
    <w:r w:rsidDel="00000000" w:rsidR="00000000" w:rsidRPr="00000000">
      <w:drawing>
        <wp:inline distB="0" distT="0" distL="0" distR="0">
          <wp:extent cx="3409633" cy="2506419"/>
          <wp:effectExtent b="38100" l="38100" r="38100" t="38100"/>
          <wp:docPr id="5" name="image09.png"/>
          <a:graphic>
            <a:graphicData uri="http://schemas.openxmlformats.org/drawingml/2006/picture">
              <pic:pic>
                <pic:nvPicPr>
                  <pic:cNvPr id="0" name="image09.png"/>
                  <pic:cNvPicPr preferRelativeResize="0"/>
                </pic:nvPicPr>
                <pic:blipFill>
                  <a:blip r:embed="rId3"/>
                  <a:srcRect b="24589" l="30434" r="11722" t="21983"/>
                  <a:stretch>
                    <a:fillRect/>
                  </a:stretch>
                </pic:blipFill>
                <pic:spPr>
                  <a:xfrm>
                    <a:off x="0" y="0"/>
                    <a:ext cx="3409633" cy="2506419"/>
                  </a:xfrm>
                  <a:prstGeom prst="rect"/>
                  <a:ln w="38100">
                    <a:solidFill>
                      <a:srgbClr val="00628C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/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5.png"/><Relationship Id="rId6" Type="http://schemas.openxmlformats.org/officeDocument/2006/relationships/image" Target="media/image07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0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3.png"/><Relationship Id="rId2" Type="http://schemas.openxmlformats.org/officeDocument/2006/relationships/image" Target="media/image11.jpg"/><Relationship Id="rId3" Type="http://schemas.openxmlformats.org/officeDocument/2006/relationships/image" Target="media/image09.png"/></Relationships>
</file>